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58" w:rsidRPr="0085463F" w:rsidRDefault="00CE4758" w:rsidP="00CE4758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CE4758" w:rsidRPr="0085463F" w:rsidRDefault="00CE4758" w:rsidP="00CE4758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CE4758" w:rsidRPr="0085463F" w:rsidRDefault="00CE4758" w:rsidP="00CE4758">
      <w:pPr>
        <w:jc w:val="center"/>
        <w:rPr>
          <w:b/>
        </w:rPr>
      </w:pPr>
      <w:r w:rsidRPr="0085463F">
        <w:rPr>
          <w:b/>
        </w:rPr>
        <w:t>1988</w:t>
      </w:r>
    </w:p>
    <w:p w:rsidR="00CE4758" w:rsidRDefault="00CE4758" w:rsidP="00CE4758">
      <w:pPr>
        <w:jc w:val="center"/>
        <w:rPr>
          <w:b/>
        </w:rPr>
      </w:pPr>
      <w:r>
        <w:rPr>
          <w:b/>
        </w:rPr>
        <w:t xml:space="preserve">Ano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, </w:t>
      </w:r>
      <w:r w:rsidRPr="0085463F">
        <w:rPr>
          <w:b/>
        </w:rPr>
        <w:t>N</w:t>
      </w:r>
      <w:r>
        <w:rPr>
          <w:b/>
        </w:rPr>
        <w:t>úmero</w:t>
      </w:r>
      <w:r w:rsidRPr="0085463F">
        <w:rPr>
          <w:b/>
        </w:rPr>
        <w:t xml:space="preserve"> I</w:t>
      </w:r>
      <w:r>
        <w:rPr>
          <w:b/>
        </w:rPr>
        <w:t>, agosto de 1988</w:t>
      </w:r>
    </w:p>
    <w:p w:rsidR="00CE4758" w:rsidRDefault="00CE4758" w:rsidP="00CE4758">
      <w:pPr>
        <w:jc w:val="center"/>
        <w:rPr>
          <w:b/>
        </w:rPr>
      </w:pPr>
      <w:r>
        <w:rPr>
          <w:b/>
        </w:rPr>
        <w:t>Faculdade de Letras – UFMG</w:t>
      </w:r>
    </w:p>
    <w:p w:rsidR="00CE4758" w:rsidRPr="001F5412" w:rsidRDefault="00CE4758" w:rsidP="00CE4758">
      <w:pPr>
        <w:jc w:val="center"/>
        <w:rPr>
          <w:b/>
        </w:rPr>
      </w:pPr>
      <w:r w:rsidRPr="001F5412">
        <w:rPr>
          <w:b/>
        </w:rPr>
        <w:t>O GT A mulher na Literatura no I</w:t>
      </w:r>
      <w:r>
        <w:rPr>
          <w:b/>
        </w:rPr>
        <w:t>II</w:t>
      </w:r>
      <w:r w:rsidRPr="001F5412">
        <w:rPr>
          <w:b/>
        </w:rPr>
        <w:t xml:space="preserve"> Encontro Nacional da ANPOLL, </w:t>
      </w:r>
      <w:r>
        <w:rPr>
          <w:b/>
        </w:rPr>
        <w:t>UFRJ</w:t>
      </w:r>
      <w:r w:rsidRPr="001F5412">
        <w:rPr>
          <w:b/>
        </w:rPr>
        <w:t xml:space="preserve"> – </w:t>
      </w:r>
      <w:r>
        <w:rPr>
          <w:b/>
        </w:rPr>
        <w:t>maio</w:t>
      </w:r>
      <w:r w:rsidRPr="001F5412">
        <w:rPr>
          <w:b/>
        </w:rPr>
        <w:t xml:space="preserve"> </w:t>
      </w:r>
      <w:r>
        <w:rPr>
          <w:b/>
        </w:rPr>
        <w:t xml:space="preserve">de </w:t>
      </w:r>
      <w:proofErr w:type="gramStart"/>
      <w:r>
        <w:rPr>
          <w:b/>
        </w:rPr>
        <w:t>1988</w:t>
      </w:r>
      <w:proofErr w:type="gramEnd"/>
    </w:p>
    <w:p w:rsidR="00CE4758" w:rsidRDefault="00CE4758" w:rsidP="00CE4758">
      <w:pPr>
        <w:jc w:val="center"/>
        <w:rPr>
          <w:b/>
        </w:rPr>
      </w:pPr>
      <w:r>
        <w:rPr>
          <w:b/>
        </w:rPr>
        <w:t>Sumário Geral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3855"/>
      </w:tblGrid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before="120" w:after="12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Uma Apresentação 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before="120" w:after="120"/>
              <w:rPr>
                <w:sz w:val="20"/>
                <w:szCs w:val="20"/>
              </w:rPr>
            </w:pPr>
            <w:proofErr w:type="gramStart"/>
            <w:r w:rsidRPr="00AF6274">
              <w:rPr>
                <w:sz w:val="20"/>
                <w:szCs w:val="20"/>
              </w:rPr>
              <w:t>5</w:t>
            </w:r>
            <w:proofErr w:type="gramEnd"/>
          </w:p>
        </w:tc>
      </w:tr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before="120" w:after="12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Introduzindo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before="120" w:after="120" w:line="240" w:lineRule="auto"/>
              <w:rPr>
                <w:sz w:val="20"/>
                <w:szCs w:val="20"/>
              </w:rPr>
            </w:pPr>
            <w:proofErr w:type="gramStart"/>
            <w:r w:rsidRPr="00AF6274">
              <w:rPr>
                <w:sz w:val="20"/>
                <w:szCs w:val="20"/>
              </w:rPr>
              <w:t>9</w:t>
            </w:r>
            <w:proofErr w:type="gramEnd"/>
          </w:p>
        </w:tc>
      </w:tr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before="120" w:after="12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Resumos dos trabalhos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before="120" w:after="12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11</w:t>
            </w:r>
          </w:p>
        </w:tc>
      </w:tr>
      <w:tr w:rsidR="00CE4758" w:rsidRPr="00AF6274" w:rsidTr="007B7A6D">
        <w:trPr>
          <w:trHeight w:val="794"/>
        </w:trPr>
        <w:tc>
          <w:tcPr>
            <w:tcW w:w="9242" w:type="dxa"/>
            <w:gridSpan w:val="2"/>
          </w:tcPr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Mesa redonda</w:t>
            </w: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Sessões de Comunicações</w:t>
            </w: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Conferências e Debates</w:t>
            </w:r>
          </w:p>
        </w:tc>
      </w:tr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Resumos de algumas comunicações </w:t>
            </w:r>
            <w:proofErr w:type="spellStart"/>
            <w:r w:rsidRPr="00AF6274">
              <w:rPr>
                <w:sz w:val="20"/>
                <w:szCs w:val="20"/>
              </w:rPr>
              <w:t>apresnetadas</w:t>
            </w:r>
            <w:proofErr w:type="spellEnd"/>
            <w:r w:rsidRPr="00AF6274">
              <w:rPr>
                <w:sz w:val="20"/>
                <w:szCs w:val="20"/>
              </w:rPr>
              <w:t xml:space="preserve"> no “II Encontro Nacional da ANPOLL”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31</w:t>
            </w:r>
          </w:p>
        </w:tc>
      </w:tr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Cursos de Pós-Graduação relacionados com “Estudos da Mulher” ministrados em universidades brasileiras</w:t>
            </w: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Relação dos 15 cursos ativos até aquela data, títulos, responsáveis e </w:t>
            </w:r>
            <w:proofErr w:type="gramStart"/>
            <w:r w:rsidRPr="00AF6274">
              <w:rPr>
                <w:sz w:val="20"/>
                <w:szCs w:val="20"/>
              </w:rPr>
              <w:t>ementas</w:t>
            </w:r>
            <w:proofErr w:type="gramEnd"/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37</w:t>
            </w:r>
          </w:p>
        </w:tc>
      </w:tr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Sugestões bibliográficas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45</w:t>
            </w:r>
          </w:p>
        </w:tc>
      </w:tr>
      <w:tr w:rsidR="00CE4758" w:rsidRPr="00AF6274" w:rsidTr="007B7A6D">
        <w:tc>
          <w:tcPr>
            <w:tcW w:w="509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Informes gerais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55</w:t>
            </w:r>
          </w:p>
        </w:tc>
      </w:tr>
      <w:tr w:rsidR="00CE4758" w:rsidRPr="00AF6274" w:rsidTr="007B7A6D">
        <w:tc>
          <w:tcPr>
            <w:tcW w:w="5098" w:type="dxa"/>
            <w:vMerge w:val="restart"/>
          </w:tcPr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Eventos relacionados com “Estudos da Mulher”</w:t>
            </w: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Entidades que oferecem bolsas para “estudos da Mulher”</w:t>
            </w: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Endereços dos pesquisadores do GT</w:t>
            </w: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Dados de informação para futuras publicações</w:t>
            </w:r>
          </w:p>
          <w:p w:rsidR="00CE4758" w:rsidRPr="00AF6274" w:rsidRDefault="00CE4758" w:rsidP="007B7A6D">
            <w:pPr>
              <w:spacing w:after="0" w:line="240" w:lineRule="auto"/>
              <w:ind w:left="709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ind w:left="709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Programação de atividades para o </w:t>
            </w:r>
            <w:proofErr w:type="spellStart"/>
            <w:r w:rsidRPr="00AF6274">
              <w:rPr>
                <w:sz w:val="20"/>
                <w:szCs w:val="20"/>
              </w:rPr>
              <w:t>periodo</w:t>
            </w:r>
            <w:proofErr w:type="spellEnd"/>
            <w:r w:rsidRPr="00AF6274">
              <w:rPr>
                <w:sz w:val="20"/>
                <w:szCs w:val="20"/>
              </w:rPr>
              <w:t xml:space="preserve"> 1988/1989</w:t>
            </w: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57</w:t>
            </w:r>
          </w:p>
        </w:tc>
      </w:tr>
      <w:tr w:rsidR="00CE4758" w:rsidRPr="00AF6274" w:rsidTr="007B7A6D">
        <w:tc>
          <w:tcPr>
            <w:tcW w:w="5098" w:type="dxa"/>
            <w:vMerge/>
          </w:tcPr>
          <w:p w:rsidR="00CE4758" w:rsidRPr="00AF6274" w:rsidRDefault="00CE4758" w:rsidP="007B7A6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59</w:t>
            </w:r>
          </w:p>
        </w:tc>
      </w:tr>
      <w:tr w:rsidR="00CE4758" w:rsidRPr="00AF6274" w:rsidTr="007B7A6D">
        <w:tc>
          <w:tcPr>
            <w:tcW w:w="5098" w:type="dxa"/>
            <w:vMerge/>
          </w:tcPr>
          <w:p w:rsidR="00CE4758" w:rsidRPr="00AF6274" w:rsidRDefault="00CE4758" w:rsidP="007B7A6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60</w:t>
            </w:r>
          </w:p>
        </w:tc>
      </w:tr>
      <w:tr w:rsidR="00CE4758" w:rsidRPr="00AF6274" w:rsidTr="007B7A6D">
        <w:tc>
          <w:tcPr>
            <w:tcW w:w="5098" w:type="dxa"/>
            <w:vMerge/>
          </w:tcPr>
          <w:p w:rsidR="00CE4758" w:rsidRPr="00AF6274" w:rsidRDefault="00CE4758" w:rsidP="007B7A6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67</w:t>
            </w:r>
          </w:p>
        </w:tc>
      </w:tr>
      <w:tr w:rsidR="00CE4758" w:rsidRPr="00AF6274" w:rsidTr="007B7A6D">
        <w:tc>
          <w:tcPr>
            <w:tcW w:w="5098" w:type="dxa"/>
            <w:vMerge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68</w:t>
            </w:r>
          </w:p>
        </w:tc>
      </w:tr>
    </w:tbl>
    <w:p w:rsidR="00CE4758" w:rsidRDefault="00CE4758" w:rsidP="00CE4758"/>
    <w:p w:rsidR="00CE4758" w:rsidRPr="00A67192" w:rsidRDefault="00CE4758" w:rsidP="00CE4758">
      <w:pPr>
        <w:jc w:val="center"/>
        <w:rPr>
          <w:b/>
        </w:rPr>
      </w:pPr>
      <w:r>
        <w:rPr>
          <w:b/>
        </w:rPr>
        <w:t>Sumário p</w:t>
      </w:r>
      <w:r w:rsidRPr="00A67192">
        <w:rPr>
          <w:b/>
        </w:rPr>
        <w:t>or autoras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24"/>
        <w:gridCol w:w="120"/>
        <w:gridCol w:w="818"/>
        <w:gridCol w:w="60"/>
        <w:gridCol w:w="1008"/>
        <w:gridCol w:w="637"/>
        <w:gridCol w:w="90"/>
        <w:gridCol w:w="1672"/>
      </w:tblGrid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Autoras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RESUMO/DESCRITORES</w:t>
            </w:r>
          </w:p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Nadia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  <w:proofErr w:type="spellStart"/>
            <w:r w:rsidRPr="00AF6274">
              <w:rPr>
                <w:sz w:val="20"/>
                <w:szCs w:val="20"/>
              </w:rPr>
              <w:t>Battella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  <w:proofErr w:type="spellStart"/>
            <w:r w:rsidRPr="00AF6274">
              <w:rPr>
                <w:sz w:val="20"/>
                <w:szCs w:val="20"/>
              </w:rPr>
              <w:t>Gotlib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Uma Apresentação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5-8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Coordenadora do GT</w:t>
            </w:r>
          </w:p>
        </w:tc>
      </w:tr>
      <w:tr w:rsidR="00CE4758" w:rsidRPr="00AF6274" w:rsidTr="007B7A6D"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lastRenderedPageBreak/>
              <w:t xml:space="preserve">O grupo de trabalho no “III Encontro </w:t>
            </w:r>
            <w:proofErr w:type="spellStart"/>
            <w:r w:rsidRPr="00AF6274">
              <w:rPr>
                <w:b/>
                <w:sz w:val="20"/>
                <w:szCs w:val="20"/>
              </w:rPr>
              <w:t>Nacionald</w:t>
            </w:r>
            <w:proofErr w:type="spellEnd"/>
            <w:r w:rsidRPr="00AF6274">
              <w:rPr>
                <w:b/>
                <w:sz w:val="20"/>
                <w:szCs w:val="20"/>
              </w:rPr>
              <w:t xml:space="preserve"> a ANPOLL” </w:t>
            </w:r>
          </w:p>
        </w:tc>
      </w:tr>
      <w:tr w:rsidR="00CE4758" w:rsidRPr="00AF6274" w:rsidTr="007B7A6D">
        <w:trPr>
          <w:trHeight w:val="208"/>
        </w:trPr>
        <w:tc>
          <w:tcPr>
            <w:tcW w:w="2182" w:type="dxa"/>
            <w:vMerge w:val="restart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Nadia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  <w:proofErr w:type="spellStart"/>
            <w:r w:rsidRPr="00AF6274">
              <w:rPr>
                <w:sz w:val="20"/>
                <w:szCs w:val="20"/>
              </w:rPr>
              <w:t>Battella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  <w:proofErr w:type="spellStart"/>
            <w:r w:rsidRPr="00AF6274">
              <w:rPr>
                <w:sz w:val="20"/>
                <w:szCs w:val="20"/>
              </w:rPr>
              <w:t>Gotlib</w:t>
            </w:r>
            <w:proofErr w:type="spellEnd"/>
          </w:p>
        </w:tc>
        <w:tc>
          <w:tcPr>
            <w:tcW w:w="2844" w:type="dxa"/>
            <w:gridSpan w:val="2"/>
            <w:vMerge w:val="restart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Introduzindo</w:t>
            </w:r>
          </w:p>
        </w:tc>
        <w:tc>
          <w:tcPr>
            <w:tcW w:w="818" w:type="dxa"/>
            <w:vMerge w:val="restart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9-10</w:t>
            </w:r>
          </w:p>
        </w:tc>
        <w:tc>
          <w:tcPr>
            <w:tcW w:w="170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1762" w:type="dxa"/>
            <w:gridSpan w:val="2"/>
          </w:tcPr>
          <w:p w:rsidR="00CE4758" w:rsidRPr="00AF6274" w:rsidRDefault="00CE4758" w:rsidP="007B7A6D">
            <w:pPr>
              <w:spacing w:after="0" w:line="240" w:lineRule="auto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Coordenadora do GT</w:t>
            </w:r>
          </w:p>
        </w:tc>
      </w:tr>
      <w:tr w:rsidR="00CE4758" w:rsidRPr="00AF6274" w:rsidTr="007B7A6D">
        <w:trPr>
          <w:trHeight w:val="207"/>
        </w:trPr>
        <w:tc>
          <w:tcPr>
            <w:tcW w:w="2182" w:type="dxa"/>
            <w:vMerge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758" w:rsidRPr="00AF6274" w:rsidTr="007B7A6D"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t>Resumos dos trabalhos</w:t>
            </w:r>
          </w:p>
        </w:tc>
      </w:tr>
      <w:tr w:rsidR="00CE4758" w:rsidRPr="00AF6274" w:rsidTr="007B7A6D">
        <w:trPr>
          <w:trHeight w:val="346"/>
        </w:trPr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t>Mesa-redonda: O lugar das vozes que falam do feminino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Autoras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RESUMO/DESCRITORES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Cleonice Paes Barreto Mourão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A escrita de Marguerite Duras enquanto </w:t>
            </w:r>
            <w:proofErr w:type="spellStart"/>
            <w:r w:rsidRPr="00AF6274">
              <w:rPr>
                <w:sz w:val="20"/>
                <w:szCs w:val="20"/>
              </w:rPr>
              <w:t>errância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11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UFMG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Ruth Silvano Brandão Lopes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mulher como fantasma masculino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11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UFMG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758" w:rsidRPr="00AF6274" w:rsidTr="007B7A6D"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t>Sessões de Comunicações</w:t>
            </w:r>
          </w:p>
        </w:tc>
      </w:tr>
      <w:tr w:rsidR="00CE4758" w:rsidRPr="00AF6274" w:rsidTr="007B7A6D"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Autoras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RESUMO/DESCRITORES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Claudia Maria Vasques</w:t>
            </w: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O Programa mulher e cultura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13-14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Coordenadora Mulher e Cultura/MINC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Nely Novaes Coelho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Dicionário de escritoras Brasileiras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14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Organização de uma obra de referencia com registro bibliográfico da produção das mulheres desde o séc. XIX. Apresentação da proposta, critérios de seleção e estrutura.</w:t>
            </w:r>
          </w:p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(notícias do projeto)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Vania Regina Peres Drummond</w:t>
            </w: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Aliza</w:t>
            </w:r>
            <w:proofErr w:type="spellEnd"/>
            <w:r w:rsidRPr="00AF6274">
              <w:rPr>
                <w:sz w:val="20"/>
                <w:szCs w:val="20"/>
              </w:rPr>
              <w:t xml:space="preserve"> Cristina </w:t>
            </w:r>
            <w:proofErr w:type="spellStart"/>
            <w:r w:rsidRPr="00AF6274">
              <w:rPr>
                <w:sz w:val="20"/>
                <w:szCs w:val="20"/>
              </w:rPr>
              <w:t>Hermont</w:t>
            </w:r>
            <w:proofErr w:type="spellEnd"/>
            <w:r w:rsidRPr="00AF6274">
              <w:rPr>
                <w:sz w:val="20"/>
                <w:szCs w:val="20"/>
              </w:rPr>
              <w:t xml:space="preserve"> de Mello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Visão da Mulher por autores mineiros: uma bibliografia anotada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15-16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UFMG</w:t>
            </w: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Estagiária/UFMG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Análise da situação da mulher no período 1975-1985, em todo o território nacional. Temas: mercado de trabalho, educação, creches, saúde, participação política, mulher negra e política governamental. (notícias do projeto apoiado pela Fundação Carlos chagas)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Elza </w:t>
            </w:r>
            <w:proofErr w:type="spellStart"/>
            <w:r w:rsidRPr="00AF6274">
              <w:rPr>
                <w:sz w:val="20"/>
                <w:szCs w:val="20"/>
              </w:rPr>
              <w:t>Miné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fala inaugural</w:t>
            </w:r>
          </w:p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Um estudo de editoriais de lançamentos de publicações de periódicos portugueses e brasileiros destinados à mulher (1870-1890)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16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Estudo das imagens construídas em editoriais de lançamentos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Myriam de Oliveira </w:t>
            </w:r>
            <w:proofErr w:type="spellStart"/>
            <w:r w:rsidRPr="00AF6274">
              <w:rPr>
                <w:sz w:val="20"/>
                <w:szCs w:val="20"/>
              </w:rPr>
              <w:t>Kühne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As cronistas de Santos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16-17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Uiversidade</w:t>
            </w:r>
            <w:proofErr w:type="spellEnd"/>
            <w:r w:rsidRPr="00AF6274">
              <w:rPr>
                <w:sz w:val="20"/>
                <w:szCs w:val="20"/>
              </w:rPr>
              <w:t xml:space="preserve"> católica de Santos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Produção artística de autoria feminina santista, no século </w:t>
            </w:r>
            <w:proofErr w:type="gramStart"/>
            <w:r w:rsidRPr="00AF6274">
              <w:rPr>
                <w:sz w:val="18"/>
                <w:szCs w:val="18"/>
              </w:rPr>
              <w:t>XX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Luzilá</w:t>
            </w:r>
            <w:proofErr w:type="spellEnd"/>
            <w:r w:rsidRPr="00AF6274">
              <w:rPr>
                <w:sz w:val="20"/>
                <w:szCs w:val="20"/>
              </w:rPr>
              <w:t xml:space="preserve"> Gonçalves Ferreira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produção poética feminina em Pernambuco (1850-1920)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17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UFPE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Produção poética das mulheres na imprensa do Recife e do interior do estado 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Maria Lúcia de Barros Camargo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De </w:t>
            </w:r>
            <w:proofErr w:type="spellStart"/>
            <w:r w:rsidRPr="00AF6274">
              <w:rPr>
                <w:sz w:val="20"/>
                <w:szCs w:val="20"/>
              </w:rPr>
              <w:t>vamps</w:t>
            </w:r>
            <w:proofErr w:type="spellEnd"/>
            <w:r w:rsidRPr="00AF6274">
              <w:rPr>
                <w:sz w:val="20"/>
                <w:szCs w:val="20"/>
              </w:rPr>
              <w:t xml:space="preserve"> e vampiros: da mulher sedutora a texto sedutor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17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UFSC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Estudo da poesia de Ana Cristina César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lastRenderedPageBreak/>
              <w:t>Ana Cláudia Coutinho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Entre luvas de pelica e botas ortopédicas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UFRJ (mestranda)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Estudo da obra de Ana Cristina César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Letícia </w:t>
            </w:r>
            <w:proofErr w:type="spellStart"/>
            <w:r w:rsidRPr="00AF6274">
              <w:rPr>
                <w:sz w:val="20"/>
                <w:szCs w:val="20"/>
              </w:rPr>
              <w:t>Niederauer</w:t>
            </w:r>
            <w:proofErr w:type="spellEnd"/>
            <w:r w:rsidRPr="00AF6274">
              <w:rPr>
                <w:sz w:val="20"/>
                <w:szCs w:val="20"/>
              </w:rPr>
              <w:t xml:space="preserve"> Tavares Cavalcanti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De Mrs. Moore a </w:t>
            </w:r>
            <w:proofErr w:type="spellStart"/>
            <w:r w:rsidRPr="00AF6274">
              <w:rPr>
                <w:sz w:val="20"/>
                <w:szCs w:val="20"/>
              </w:rPr>
              <w:t>Esmiss</w:t>
            </w:r>
            <w:proofErr w:type="spellEnd"/>
            <w:r w:rsidRPr="00AF6274">
              <w:rPr>
                <w:sz w:val="20"/>
                <w:szCs w:val="20"/>
              </w:rPr>
              <w:t xml:space="preserve"> </w:t>
            </w:r>
            <w:proofErr w:type="spellStart"/>
            <w:r w:rsidRPr="00AF6274">
              <w:rPr>
                <w:sz w:val="20"/>
                <w:szCs w:val="20"/>
              </w:rPr>
              <w:t>Esmoor</w:t>
            </w:r>
            <w:proofErr w:type="spellEnd"/>
            <w:r w:rsidRPr="00AF6274">
              <w:rPr>
                <w:sz w:val="20"/>
                <w:szCs w:val="20"/>
              </w:rPr>
              <w:t xml:space="preserve">: o </w:t>
            </w:r>
            <w:proofErr w:type="spellStart"/>
            <w:r w:rsidRPr="00AF6274">
              <w:rPr>
                <w:i/>
                <w:sz w:val="20"/>
                <w:szCs w:val="20"/>
              </w:rPr>
              <w:t>Bhagavadgita</w:t>
            </w:r>
            <w:proofErr w:type="spellEnd"/>
            <w:r w:rsidRPr="00AF6274">
              <w:rPr>
                <w:sz w:val="20"/>
                <w:szCs w:val="20"/>
              </w:rPr>
              <w:t xml:space="preserve"> e E.M. </w:t>
            </w:r>
            <w:proofErr w:type="spellStart"/>
            <w:r w:rsidRPr="00AF6274">
              <w:rPr>
                <w:sz w:val="20"/>
                <w:szCs w:val="20"/>
              </w:rPr>
              <w:t>Forster</w:t>
            </w:r>
            <w:proofErr w:type="spellEnd"/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UFPB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Aborda</w:t>
            </w:r>
            <w:proofErr w:type="gramStart"/>
            <w:r w:rsidRPr="00AF6274">
              <w:rPr>
                <w:sz w:val="18"/>
                <w:szCs w:val="18"/>
              </w:rPr>
              <w:t xml:space="preserve">  </w:t>
            </w:r>
            <w:proofErr w:type="gramEnd"/>
            <w:r w:rsidRPr="00AF6274">
              <w:rPr>
                <w:sz w:val="18"/>
                <w:szCs w:val="18"/>
              </w:rPr>
              <w:t xml:space="preserve">personagem de </w:t>
            </w:r>
            <w:proofErr w:type="spellStart"/>
            <w:r w:rsidRPr="00AF6274">
              <w:rPr>
                <w:sz w:val="18"/>
                <w:szCs w:val="18"/>
              </w:rPr>
              <w:t>Forster</w:t>
            </w:r>
            <w:proofErr w:type="spellEnd"/>
            <w:r w:rsidRPr="00AF6274">
              <w:rPr>
                <w:sz w:val="18"/>
                <w:szCs w:val="18"/>
              </w:rPr>
              <w:t xml:space="preserve">, </w:t>
            </w:r>
            <w:proofErr w:type="spellStart"/>
            <w:r w:rsidRPr="00AF6274">
              <w:rPr>
                <w:sz w:val="18"/>
                <w:szCs w:val="18"/>
              </w:rPr>
              <w:t>Mrs</w:t>
            </w:r>
            <w:proofErr w:type="spellEnd"/>
            <w:r w:rsidRPr="00AF6274">
              <w:rPr>
                <w:sz w:val="18"/>
                <w:szCs w:val="18"/>
              </w:rPr>
              <w:t xml:space="preserve"> Moore, em </w:t>
            </w:r>
            <w:r w:rsidRPr="00AF6274">
              <w:rPr>
                <w:i/>
                <w:sz w:val="18"/>
                <w:szCs w:val="18"/>
              </w:rPr>
              <w:t>Passagem para a Índia</w:t>
            </w:r>
            <w:r w:rsidRPr="00AF6274">
              <w:rPr>
                <w:sz w:val="18"/>
                <w:szCs w:val="18"/>
              </w:rPr>
              <w:t xml:space="preserve"> (1924)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Susana </w:t>
            </w:r>
            <w:proofErr w:type="spellStart"/>
            <w:r w:rsidRPr="00AF6274">
              <w:rPr>
                <w:sz w:val="20"/>
                <w:szCs w:val="20"/>
              </w:rPr>
              <w:t>Bornéo</w:t>
            </w:r>
            <w:proofErr w:type="spellEnd"/>
            <w:r w:rsidRPr="00AF6274">
              <w:rPr>
                <w:sz w:val="20"/>
                <w:szCs w:val="20"/>
              </w:rPr>
              <w:t xml:space="preserve"> Funk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F6274">
              <w:rPr>
                <w:sz w:val="20"/>
                <w:szCs w:val="20"/>
                <w:lang w:val="en-US"/>
              </w:rPr>
              <w:t xml:space="preserve">Pregnancy and Motherhood in contemporary </w:t>
            </w:r>
            <w:proofErr w:type="spellStart"/>
            <w:r w:rsidRPr="00AF6274">
              <w:rPr>
                <w:sz w:val="20"/>
                <w:szCs w:val="20"/>
                <w:lang w:val="en-US"/>
              </w:rPr>
              <w:t>fminista</w:t>
            </w:r>
            <w:proofErr w:type="spellEnd"/>
            <w:r w:rsidRPr="00AF6274">
              <w:rPr>
                <w:sz w:val="20"/>
                <w:szCs w:val="20"/>
                <w:lang w:val="en-US"/>
              </w:rPr>
              <w:t xml:space="preserve"> utopia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18-19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UFSC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F6274">
              <w:rPr>
                <w:sz w:val="18"/>
                <w:szCs w:val="18"/>
                <w:lang w:val="en-US"/>
              </w:rPr>
              <w:t>Estudo</w:t>
            </w:r>
            <w:proofErr w:type="spellEnd"/>
            <w:r w:rsidRPr="00AF62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6274">
              <w:rPr>
                <w:sz w:val="18"/>
                <w:szCs w:val="18"/>
                <w:lang w:val="en-US"/>
              </w:rPr>
              <w:t>comparativo</w:t>
            </w:r>
            <w:proofErr w:type="spellEnd"/>
            <w:r w:rsidRPr="00AF6274">
              <w:rPr>
                <w:sz w:val="18"/>
                <w:szCs w:val="18"/>
                <w:lang w:val="en-US"/>
              </w:rPr>
              <w:t xml:space="preserve"> de Marge Piercy e Margaret Atwood, </w:t>
            </w:r>
            <w:proofErr w:type="spellStart"/>
            <w:r w:rsidRPr="00AF6274">
              <w:rPr>
                <w:sz w:val="18"/>
                <w:szCs w:val="18"/>
                <w:lang w:val="en-US"/>
              </w:rPr>
              <w:t>respectivmente</w:t>
            </w:r>
            <w:proofErr w:type="spellEnd"/>
            <w:r w:rsidRPr="00AF62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6274">
              <w:rPr>
                <w:sz w:val="18"/>
                <w:szCs w:val="18"/>
                <w:lang w:val="en-US"/>
              </w:rPr>
              <w:t>os</w:t>
            </w:r>
            <w:proofErr w:type="spellEnd"/>
            <w:r w:rsidRPr="00AF6274">
              <w:rPr>
                <w:sz w:val="18"/>
                <w:szCs w:val="18"/>
                <w:lang w:val="en-US"/>
              </w:rPr>
              <w:t xml:space="preserve"> romances </w:t>
            </w:r>
            <w:r w:rsidRPr="00AF6274">
              <w:rPr>
                <w:i/>
                <w:sz w:val="18"/>
                <w:szCs w:val="18"/>
                <w:lang w:val="en-US"/>
              </w:rPr>
              <w:t>Woman on the Edge of time</w:t>
            </w:r>
            <w:r w:rsidRPr="00AF6274">
              <w:rPr>
                <w:sz w:val="18"/>
                <w:szCs w:val="18"/>
                <w:lang w:val="en-US"/>
              </w:rPr>
              <w:t xml:space="preserve"> (1976) e </w:t>
            </w:r>
            <w:r w:rsidRPr="00AF6274">
              <w:rPr>
                <w:i/>
                <w:sz w:val="18"/>
                <w:szCs w:val="18"/>
                <w:lang w:val="en-US"/>
              </w:rPr>
              <w:t xml:space="preserve">The Handmaid´s Tale </w:t>
            </w:r>
            <w:r w:rsidRPr="00AF6274">
              <w:rPr>
                <w:sz w:val="18"/>
                <w:szCs w:val="18"/>
                <w:lang w:val="en-US"/>
              </w:rPr>
              <w:t>(1987),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Ângela </w:t>
            </w:r>
            <w:proofErr w:type="spellStart"/>
            <w:r w:rsidRPr="00AF6274">
              <w:rPr>
                <w:sz w:val="20"/>
                <w:szCs w:val="20"/>
              </w:rPr>
              <w:t>Senra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Lamentações de uma Dona apaixonada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19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UFMG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Estudo das </w:t>
            </w:r>
            <w:r w:rsidRPr="00AF6274">
              <w:rPr>
                <w:i/>
                <w:sz w:val="18"/>
                <w:szCs w:val="18"/>
              </w:rPr>
              <w:t>Cartas</w:t>
            </w:r>
            <w:r w:rsidRPr="00AF6274">
              <w:rPr>
                <w:sz w:val="18"/>
                <w:szCs w:val="18"/>
              </w:rPr>
              <w:t xml:space="preserve"> de Sóror Mariana do Alcoforado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Constância Lima Duarte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Nísia Floresta Brasileira Augusta: estudo de vida e obra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19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UFRN/</w:t>
            </w: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Doutranda</w:t>
            </w:r>
            <w:proofErr w:type="spellEnd"/>
            <w:r w:rsidRPr="00AF6274">
              <w:rPr>
                <w:sz w:val="20"/>
                <w:szCs w:val="20"/>
              </w:rPr>
              <w:t xml:space="preserve"> 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Estudo da trajetória e produção da escritora citada (notícias do projeto)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Marlene </w:t>
            </w:r>
            <w:proofErr w:type="spellStart"/>
            <w:r w:rsidRPr="00AF6274">
              <w:rPr>
                <w:sz w:val="20"/>
                <w:szCs w:val="20"/>
              </w:rPr>
              <w:t>Bilenky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personagem feminina nos romances de Lúcia Miguel Pereira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20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Doutranda</w:t>
            </w:r>
            <w:proofErr w:type="spellEnd"/>
            <w:r w:rsidRPr="00AF6274">
              <w:rPr>
                <w:sz w:val="20"/>
                <w:szCs w:val="20"/>
              </w:rPr>
              <w:t xml:space="preserve"> 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Destaque para os romances de 30: </w:t>
            </w:r>
            <w:r w:rsidRPr="00AF6274">
              <w:rPr>
                <w:i/>
                <w:sz w:val="18"/>
                <w:szCs w:val="18"/>
              </w:rPr>
              <w:t xml:space="preserve">Maria </w:t>
            </w:r>
            <w:proofErr w:type="spellStart"/>
            <w:r w:rsidRPr="00AF6274">
              <w:rPr>
                <w:i/>
                <w:sz w:val="18"/>
                <w:szCs w:val="18"/>
              </w:rPr>
              <w:t>Luisa</w:t>
            </w:r>
            <w:proofErr w:type="spellEnd"/>
            <w:r w:rsidRPr="00AF6274">
              <w:rPr>
                <w:sz w:val="18"/>
                <w:szCs w:val="18"/>
              </w:rPr>
              <w:t xml:space="preserve">, </w:t>
            </w:r>
            <w:r w:rsidRPr="00AF6274">
              <w:rPr>
                <w:i/>
                <w:sz w:val="18"/>
                <w:szCs w:val="18"/>
              </w:rPr>
              <w:t>Em surdina</w:t>
            </w:r>
            <w:r w:rsidRPr="00AF6274">
              <w:rPr>
                <w:sz w:val="18"/>
                <w:szCs w:val="18"/>
              </w:rPr>
              <w:t xml:space="preserve"> e </w:t>
            </w:r>
            <w:proofErr w:type="gramStart"/>
            <w:r w:rsidRPr="00AF6274">
              <w:rPr>
                <w:i/>
                <w:sz w:val="18"/>
                <w:szCs w:val="18"/>
              </w:rPr>
              <w:t>Amanhecer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Erotismo e morte em </w:t>
            </w:r>
            <w:r w:rsidRPr="00AF6274">
              <w:rPr>
                <w:i/>
                <w:sz w:val="20"/>
                <w:szCs w:val="20"/>
              </w:rPr>
              <w:t>Concerto carioca</w:t>
            </w:r>
            <w:r w:rsidRPr="00AF6274">
              <w:rPr>
                <w:sz w:val="20"/>
                <w:szCs w:val="20"/>
              </w:rPr>
              <w:t xml:space="preserve"> de Antônio Callado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F6274">
              <w:rPr>
                <w:sz w:val="20"/>
                <w:szCs w:val="20"/>
              </w:rPr>
              <w:t>Haydeé</w:t>
            </w:r>
            <w:proofErr w:type="spellEnd"/>
            <w:r w:rsidRPr="00AF6274">
              <w:rPr>
                <w:sz w:val="20"/>
                <w:szCs w:val="20"/>
              </w:rPr>
              <w:t xml:space="preserve"> Ribeiro </w:t>
            </w:r>
            <w:proofErr w:type="spellStart"/>
            <w:r w:rsidRPr="00AF6274">
              <w:rPr>
                <w:sz w:val="20"/>
                <w:szCs w:val="20"/>
              </w:rPr>
              <w:t>Coolho</w:t>
            </w:r>
            <w:proofErr w:type="spellEnd"/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20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UFMG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Estudo da representação feminina, erotismo e </w:t>
            </w:r>
            <w:proofErr w:type="gramStart"/>
            <w:r w:rsidRPr="00AF6274">
              <w:rPr>
                <w:sz w:val="18"/>
                <w:szCs w:val="18"/>
              </w:rPr>
              <w:t>morte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Glória Maria </w:t>
            </w:r>
            <w:proofErr w:type="spellStart"/>
            <w:r w:rsidRPr="00AF6274">
              <w:rPr>
                <w:sz w:val="20"/>
                <w:szCs w:val="20"/>
              </w:rPr>
              <w:t>Cordovani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Bibliografia de e sobre Clarice Lispector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20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Mestranda 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Levantamento exaustivo da bibliografia da e sobre a autora (notícias do projeto)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Arnaldo Franco Junior 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Uma aprendizagem do amor e do prazer via </w:t>
            </w:r>
            <w:proofErr w:type="spellStart"/>
            <w:r w:rsidRPr="00AF6274">
              <w:rPr>
                <w:sz w:val="20"/>
                <w:szCs w:val="20"/>
              </w:rPr>
              <w:t>enamoramento</w:t>
            </w:r>
            <w:proofErr w:type="spellEnd"/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21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Fundação Univ. Estadual de </w:t>
            </w:r>
            <w:proofErr w:type="gramStart"/>
            <w:r w:rsidRPr="00AF6274">
              <w:rPr>
                <w:sz w:val="20"/>
                <w:szCs w:val="20"/>
              </w:rPr>
              <w:t>Maringá</w:t>
            </w:r>
            <w:proofErr w:type="gramEnd"/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Aborda o percurso-processo do </w:t>
            </w:r>
            <w:proofErr w:type="spellStart"/>
            <w:r w:rsidRPr="00AF6274">
              <w:rPr>
                <w:sz w:val="18"/>
                <w:szCs w:val="18"/>
              </w:rPr>
              <w:t>enamoramento</w:t>
            </w:r>
            <w:proofErr w:type="spellEnd"/>
            <w:r w:rsidRPr="00AF6274">
              <w:rPr>
                <w:sz w:val="18"/>
                <w:szCs w:val="18"/>
              </w:rPr>
              <w:t xml:space="preserve"> entre Ulisses e </w:t>
            </w:r>
            <w:proofErr w:type="spellStart"/>
            <w:r w:rsidRPr="00AF6274">
              <w:rPr>
                <w:sz w:val="18"/>
                <w:szCs w:val="18"/>
              </w:rPr>
              <w:t>Lóri</w:t>
            </w:r>
            <w:proofErr w:type="spellEnd"/>
            <w:r w:rsidRPr="00AF6274">
              <w:rPr>
                <w:sz w:val="18"/>
                <w:szCs w:val="18"/>
              </w:rPr>
              <w:t xml:space="preserve">, em </w:t>
            </w:r>
            <w:r w:rsidRPr="00AF6274">
              <w:rPr>
                <w:i/>
                <w:sz w:val="18"/>
                <w:szCs w:val="18"/>
              </w:rPr>
              <w:t>Uma aprendizagem ou o Livro dos Prazeres</w:t>
            </w:r>
            <w:r w:rsidRPr="00AF6274">
              <w:rPr>
                <w:sz w:val="18"/>
                <w:szCs w:val="18"/>
              </w:rPr>
              <w:t xml:space="preserve">, de Clarice </w:t>
            </w:r>
            <w:proofErr w:type="gramStart"/>
            <w:r w:rsidRPr="00AF6274">
              <w:rPr>
                <w:sz w:val="18"/>
                <w:szCs w:val="18"/>
              </w:rPr>
              <w:t>Lispector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Ellen Douglass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A busca feminista em </w:t>
            </w:r>
            <w:r w:rsidRPr="00AF6274">
              <w:rPr>
                <w:i/>
                <w:sz w:val="20"/>
                <w:szCs w:val="20"/>
              </w:rPr>
              <w:t>Perto do coração selvagem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21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6274">
              <w:rPr>
                <w:sz w:val="20"/>
                <w:szCs w:val="20"/>
                <w:lang w:val="en-US"/>
              </w:rPr>
              <w:t>Brown University, Providence, Rhode Island, EUA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A mulher como “buscadora”, revisão da tradição patriarcal. Destaque no livro citado de Clarice Lispector.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Márcia Lígia Dias Roberto </w:t>
            </w:r>
            <w:proofErr w:type="spellStart"/>
            <w:r w:rsidRPr="00AF6274">
              <w:rPr>
                <w:sz w:val="20"/>
                <w:szCs w:val="20"/>
              </w:rPr>
              <w:t>Guidin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O tema da morte em Clarice Lispector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22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Mestranda/USP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Estudo de tema, com destaque no conto “A partida do trem”, do livro </w:t>
            </w:r>
            <w:r w:rsidRPr="00AF6274">
              <w:rPr>
                <w:i/>
                <w:sz w:val="18"/>
                <w:szCs w:val="18"/>
              </w:rPr>
              <w:t>Onde estiveste de noite</w:t>
            </w:r>
            <w:r w:rsidRPr="00AF6274">
              <w:rPr>
                <w:sz w:val="18"/>
                <w:szCs w:val="18"/>
              </w:rPr>
              <w:t>.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Clarisse </w:t>
            </w:r>
            <w:proofErr w:type="spellStart"/>
            <w:r w:rsidRPr="00AF6274">
              <w:rPr>
                <w:sz w:val="20"/>
                <w:szCs w:val="20"/>
              </w:rPr>
              <w:t>Fukelman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palavra em exílio: uma leitura de Clarice Lispector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22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PUC/RJ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Análise de como a escritora aborda “a margem” e o “exílio”, com destaque em </w:t>
            </w:r>
            <w:r w:rsidRPr="00AF6274">
              <w:rPr>
                <w:i/>
                <w:sz w:val="18"/>
                <w:szCs w:val="18"/>
              </w:rPr>
              <w:t xml:space="preserve">A via </w:t>
            </w:r>
            <w:proofErr w:type="spellStart"/>
            <w:r w:rsidRPr="00AF6274">
              <w:rPr>
                <w:i/>
                <w:sz w:val="18"/>
                <w:szCs w:val="18"/>
              </w:rPr>
              <w:t>crucis</w:t>
            </w:r>
            <w:proofErr w:type="spellEnd"/>
            <w:r w:rsidRPr="00AF6274">
              <w:rPr>
                <w:i/>
                <w:sz w:val="18"/>
                <w:szCs w:val="18"/>
              </w:rPr>
              <w:t xml:space="preserve"> do </w:t>
            </w:r>
            <w:proofErr w:type="gramStart"/>
            <w:r w:rsidRPr="00AF6274">
              <w:rPr>
                <w:i/>
                <w:sz w:val="18"/>
                <w:szCs w:val="18"/>
              </w:rPr>
              <w:t>corpo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Laura </w:t>
            </w:r>
            <w:proofErr w:type="spellStart"/>
            <w:r w:rsidRPr="00AF6274">
              <w:rPr>
                <w:sz w:val="20"/>
                <w:szCs w:val="20"/>
              </w:rPr>
              <w:t>Hoslasson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Olhares retrospectivos em Clarice Lispector e Maria </w:t>
            </w:r>
            <w:proofErr w:type="spellStart"/>
            <w:r w:rsidRPr="00AF6274">
              <w:rPr>
                <w:sz w:val="20"/>
                <w:szCs w:val="20"/>
              </w:rPr>
              <w:t>Luisa</w:t>
            </w:r>
            <w:proofErr w:type="spellEnd"/>
            <w:r w:rsidRPr="00AF6274">
              <w:rPr>
                <w:sz w:val="20"/>
                <w:szCs w:val="20"/>
              </w:rPr>
              <w:t xml:space="preserve"> Pombal 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23</w:t>
            </w:r>
          </w:p>
        </w:tc>
        <w:tc>
          <w:tcPr>
            <w:tcW w:w="1008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Mestranda/USP</w:t>
            </w:r>
          </w:p>
        </w:tc>
        <w:tc>
          <w:tcPr>
            <w:tcW w:w="2399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Estudo comparativo entre para a obra </w:t>
            </w:r>
            <w:r w:rsidRPr="00AF6274">
              <w:rPr>
                <w:i/>
                <w:sz w:val="18"/>
                <w:szCs w:val="18"/>
              </w:rPr>
              <w:t>perto do coração selvagem</w:t>
            </w:r>
            <w:r w:rsidRPr="00AF6274">
              <w:rPr>
                <w:sz w:val="18"/>
                <w:szCs w:val="18"/>
              </w:rPr>
              <w:t xml:space="preserve"> (1943), de Clarice Lispector e o conto “El </w:t>
            </w:r>
            <w:proofErr w:type="spellStart"/>
            <w:r w:rsidRPr="00AF6274">
              <w:rPr>
                <w:sz w:val="18"/>
                <w:szCs w:val="18"/>
              </w:rPr>
              <w:t>Árbol</w:t>
            </w:r>
            <w:proofErr w:type="spellEnd"/>
            <w:r w:rsidRPr="00AF6274">
              <w:rPr>
                <w:sz w:val="18"/>
                <w:szCs w:val="18"/>
              </w:rPr>
              <w:t xml:space="preserve">” (1939), de Maria </w:t>
            </w:r>
            <w:proofErr w:type="spellStart"/>
            <w:r w:rsidRPr="00AF6274">
              <w:rPr>
                <w:sz w:val="18"/>
                <w:szCs w:val="18"/>
              </w:rPr>
              <w:t>Luisa</w:t>
            </w:r>
            <w:proofErr w:type="spellEnd"/>
            <w:r w:rsidRPr="00AF6274">
              <w:rPr>
                <w:sz w:val="18"/>
                <w:szCs w:val="18"/>
              </w:rPr>
              <w:t xml:space="preserve"> Pombal, a partir da convergência movimento de volta ao </w:t>
            </w:r>
            <w:proofErr w:type="gramStart"/>
            <w:r w:rsidRPr="00AF6274">
              <w:rPr>
                <w:sz w:val="18"/>
                <w:szCs w:val="18"/>
              </w:rPr>
              <w:t>passado</w:t>
            </w:r>
            <w:proofErr w:type="gramEnd"/>
          </w:p>
        </w:tc>
      </w:tr>
      <w:tr w:rsidR="00CE4758" w:rsidRPr="00AF6274" w:rsidTr="007B7A6D"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t>Conferência e Debates:</w:t>
            </w:r>
          </w:p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t>A Análise e a crítica de textos de e sobre a mulher na literatura: Questões teóricas e metodológicas</w:t>
            </w:r>
          </w:p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Apresentadora da conferencista e das debatedoras, coordenadora dos debates: Elza Mine (USP</w:t>
            </w:r>
            <w:proofErr w:type="gramStart"/>
            <w:r w:rsidRPr="00AF6274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lastRenderedPageBreak/>
              <w:t>Autoras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RESUMO/DESCRITORES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Ria </w:t>
            </w:r>
            <w:proofErr w:type="spellStart"/>
            <w:r w:rsidRPr="00AF6274">
              <w:rPr>
                <w:sz w:val="20"/>
                <w:szCs w:val="20"/>
              </w:rPr>
              <w:t>Lemaire</w:t>
            </w:r>
            <w:proofErr w:type="spellEnd"/>
            <w:r w:rsidRPr="00AF6274">
              <w:rPr>
                <w:sz w:val="20"/>
                <w:szCs w:val="20"/>
              </w:rPr>
              <w:t xml:space="preserve"> (conferencista)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A canção da </w:t>
            </w:r>
            <w:proofErr w:type="spellStart"/>
            <w:r w:rsidRPr="00AF6274">
              <w:rPr>
                <w:sz w:val="20"/>
                <w:szCs w:val="20"/>
              </w:rPr>
              <w:t>mal-maridada</w:t>
            </w:r>
            <w:proofErr w:type="spellEnd"/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25-28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Univ. de Utrecht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Estudo de como, na canção citada no título, “homens e mulheres imaginam e cantam </w:t>
            </w:r>
            <w:proofErr w:type="gramStart"/>
            <w:r w:rsidRPr="00AF6274">
              <w:rPr>
                <w:sz w:val="18"/>
                <w:szCs w:val="18"/>
              </w:rPr>
              <w:t>as</w:t>
            </w:r>
            <w:proofErr w:type="gramEnd"/>
            <w:r w:rsidRPr="00AF6274">
              <w:rPr>
                <w:sz w:val="18"/>
                <w:szCs w:val="18"/>
              </w:rPr>
              <w:t xml:space="preserve"> relações ente os sexos, como estruturam o poder e como inscrevem relações de poder nas suas canções)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Lúcia Helena de O. V. Carvalho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ponta farpada ou o lugar marcado da mulher no discurso da tradição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Analise como a </w:t>
            </w:r>
            <w:proofErr w:type="spellStart"/>
            <w:r w:rsidRPr="00AF6274">
              <w:rPr>
                <w:sz w:val="18"/>
                <w:szCs w:val="18"/>
              </w:rPr>
              <w:t>tradiação</w:t>
            </w:r>
            <w:proofErr w:type="spellEnd"/>
            <w:r w:rsidRPr="00AF6274">
              <w:rPr>
                <w:sz w:val="18"/>
                <w:szCs w:val="18"/>
              </w:rPr>
              <w:t xml:space="preserve"> da </w:t>
            </w:r>
            <w:proofErr w:type="spellStart"/>
            <w:r w:rsidRPr="00AF6274">
              <w:rPr>
                <w:sz w:val="18"/>
                <w:szCs w:val="18"/>
              </w:rPr>
              <w:t>cultiura</w:t>
            </w:r>
            <w:proofErr w:type="spellEnd"/>
            <w:r w:rsidRPr="00AF6274">
              <w:rPr>
                <w:sz w:val="18"/>
                <w:szCs w:val="18"/>
              </w:rPr>
              <w:t xml:space="preserve"> </w:t>
            </w:r>
            <w:proofErr w:type="spellStart"/>
            <w:r w:rsidRPr="00AF6274">
              <w:rPr>
                <w:sz w:val="18"/>
                <w:szCs w:val="18"/>
              </w:rPr>
              <w:t>coidental</w:t>
            </w:r>
            <w:proofErr w:type="spellEnd"/>
            <w:r w:rsidRPr="00AF6274">
              <w:rPr>
                <w:sz w:val="18"/>
                <w:szCs w:val="18"/>
              </w:rPr>
              <w:t xml:space="preserve"> destinou um lugar para a mulher, como a pesquisa de Ria </w:t>
            </w:r>
            <w:proofErr w:type="spellStart"/>
            <w:r w:rsidRPr="00AF6274">
              <w:rPr>
                <w:sz w:val="18"/>
                <w:szCs w:val="18"/>
              </w:rPr>
              <w:t>Lemaire</w:t>
            </w:r>
            <w:proofErr w:type="spellEnd"/>
            <w:r w:rsidRPr="00AF6274">
              <w:rPr>
                <w:sz w:val="18"/>
                <w:szCs w:val="18"/>
              </w:rPr>
              <w:t xml:space="preserve"> atesta a </w:t>
            </w:r>
            <w:proofErr w:type="spellStart"/>
            <w:r w:rsidRPr="00AF6274">
              <w:rPr>
                <w:sz w:val="18"/>
                <w:szCs w:val="18"/>
              </w:rPr>
              <w:t>passagemda</w:t>
            </w:r>
            <w:proofErr w:type="spellEnd"/>
            <w:r w:rsidRPr="00AF6274">
              <w:rPr>
                <w:sz w:val="18"/>
                <w:szCs w:val="18"/>
              </w:rPr>
              <w:t xml:space="preserve"> mulher de um lugar ao outro, cita, como exemplo, na literatura brasileira, Iracema, de Alencar e sua crítica por machado de Assis e a atuação da mulher para reconstruir o seu </w:t>
            </w:r>
            <w:proofErr w:type="gramStart"/>
            <w:r w:rsidRPr="00AF6274">
              <w:rPr>
                <w:sz w:val="18"/>
                <w:szCs w:val="18"/>
              </w:rPr>
              <w:t>discurso</w:t>
            </w:r>
            <w:proofErr w:type="gramEnd"/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Valéria de Marco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Entre a voz e a imagem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29-30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USP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AF6274">
              <w:rPr>
                <w:sz w:val="18"/>
                <w:szCs w:val="18"/>
              </w:rPr>
              <w:t>formulações</w:t>
            </w:r>
            <w:proofErr w:type="gramEnd"/>
            <w:r w:rsidRPr="00AF6274">
              <w:rPr>
                <w:sz w:val="18"/>
                <w:szCs w:val="18"/>
              </w:rPr>
              <w:t xml:space="preserve"> de questões para a conferencista, com base em três textos de sua autoria, sobre 1. </w:t>
            </w:r>
            <w:proofErr w:type="gramStart"/>
            <w:r w:rsidRPr="00AF6274">
              <w:rPr>
                <w:sz w:val="18"/>
                <w:szCs w:val="18"/>
              </w:rPr>
              <w:t>o</w:t>
            </w:r>
            <w:proofErr w:type="gramEnd"/>
            <w:r w:rsidRPr="00AF6274">
              <w:rPr>
                <w:sz w:val="18"/>
                <w:szCs w:val="18"/>
              </w:rPr>
              <w:t xml:space="preserve"> sujeito feminino; 2. </w:t>
            </w:r>
            <w:proofErr w:type="gramStart"/>
            <w:r w:rsidRPr="00AF6274">
              <w:rPr>
                <w:sz w:val="18"/>
                <w:szCs w:val="18"/>
              </w:rPr>
              <w:t>o</w:t>
            </w:r>
            <w:proofErr w:type="gramEnd"/>
            <w:r w:rsidRPr="00AF6274">
              <w:rPr>
                <w:sz w:val="18"/>
                <w:szCs w:val="18"/>
              </w:rPr>
              <w:t xml:space="preserve"> gênero do poder nas humanidades e 3. </w:t>
            </w:r>
            <w:proofErr w:type="gramStart"/>
            <w:r w:rsidRPr="00AF6274">
              <w:rPr>
                <w:sz w:val="18"/>
                <w:szCs w:val="18"/>
              </w:rPr>
              <w:t>a</w:t>
            </w:r>
            <w:proofErr w:type="gramEnd"/>
            <w:r w:rsidRPr="00AF6274">
              <w:rPr>
                <w:sz w:val="18"/>
                <w:szCs w:val="18"/>
              </w:rPr>
              <w:t xml:space="preserve"> canção da </w:t>
            </w:r>
            <w:proofErr w:type="spellStart"/>
            <w:r w:rsidRPr="00AF6274">
              <w:rPr>
                <w:sz w:val="18"/>
                <w:szCs w:val="18"/>
              </w:rPr>
              <w:t>mal-maridada</w:t>
            </w:r>
            <w:proofErr w:type="spellEnd"/>
            <w:r w:rsidRPr="00AF6274">
              <w:rPr>
                <w:sz w:val="18"/>
                <w:szCs w:val="18"/>
              </w:rPr>
              <w:t>.</w:t>
            </w:r>
          </w:p>
        </w:tc>
      </w:tr>
      <w:tr w:rsidR="00CE4758" w:rsidRPr="00AF6274" w:rsidTr="007B7A6D">
        <w:tc>
          <w:tcPr>
            <w:tcW w:w="9311" w:type="dxa"/>
            <w:gridSpan w:val="9"/>
          </w:tcPr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6274">
              <w:rPr>
                <w:b/>
                <w:sz w:val="20"/>
                <w:szCs w:val="20"/>
              </w:rPr>
              <w:t>Resumos de algumas comunicações apresentadas no “II Encontro Nacional da ANPOLL”</w:t>
            </w:r>
          </w:p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E4758" w:rsidRPr="00AF6274" w:rsidRDefault="00CE475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Obs.: “os resumos dos trabalhos apresentados nos </w:t>
            </w:r>
            <w:proofErr w:type="spellStart"/>
            <w:r w:rsidRPr="00AF6274">
              <w:rPr>
                <w:sz w:val="20"/>
                <w:szCs w:val="20"/>
              </w:rPr>
              <w:t>GTs</w:t>
            </w:r>
            <w:proofErr w:type="spellEnd"/>
            <w:r w:rsidRPr="00AF6274">
              <w:rPr>
                <w:sz w:val="20"/>
                <w:szCs w:val="20"/>
              </w:rPr>
              <w:t>, sob a forma de comunicações e mesas-redondas, desse II Encontro foram publicados nos Anais do II Encontro Nacional da ANPOLL (RJ, 1987).</w:t>
            </w:r>
            <w:proofErr w:type="gramStart"/>
            <w:r w:rsidRPr="00AF6274">
              <w:rPr>
                <w:sz w:val="20"/>
                <w:szCs w:val="20"/>
              </w:rPr>
              <w:t xml:space="preserve">  </w:t>
            </w:r>
            <w:proofErr w:type="gramEnd"/>
            <w:r w:rsidRPr="00AF6274">
              <w:rPr>
                <w:sz w:val="20"/>
                <w:szCs w:val="20"/>
              </w:rPr>
              <w:t>Por engano, quatro trabalhos de pesquisadoras do nosso GT não foram publicados, por essa razão foram publicados nesse Boletim. São eles: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Autoras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RESUMO/DESCRITORES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Maria Lúcia de Barros Camargo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Ana Cristina César: uma leitura do feminino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UFSC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 xml:space="preserve">Exame de como a escritora tratou do tema “literatura feminina” ao falar de outras mulheres. Ênfase nos ensaios: </w:t>
            </w:r>
            <w:r w:rsidRPr="00AF6274">
              <w:rPr>
                <w:i/>
                <w:sz w:val="18"/>
                <w:szCs w:val="18"/>
              </w:rPr>
              <w:t>Literatura e mulher: essa palavra de luxo</w:t>
            </w:r>
            <w:r w:rsidRPr="00AF6274">
              <w:rPr>
                <w:sz w:val="18"/>
                <w:szCs w:val="18"/>
              </w:rPr>
              <w:t xml:space="preserve"> </w:t>
            </w:r>
            <w:r w:rsidRPr="00AF6274">
              <w:rPr>
                <w:sz w:val="18"/>
                <w:szCs w:val="18"/>
              </w:rPr>
              <w:lastRenderedPageBreak/>
              <w:t>(1979), “</w:t>
            </w:r>
            <w:proofErr w:type="spellStart"/>
            <w:r w:rsidRPr="00AF6274">
              <w:rPr>
                <w:sz w:val="18"/>
                <w:szCs w:val="18"/>
              </w:rPr>
              <w:t>Riocorrente</w:t>
            </w:r>
            <w:proofErr w:type="spellEnd"/>
            <w:r w:rsidRPr="00AF6274">
              <w:rPr>
                <w:sz w:val="18"/>
                <w:szCs w:val="18"/>
              </w:rPr>
              <w:t>, depois de Eva e Adão” (1982).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lastRenderedPageBreak/>
              <w:t>Constância Lima Duarte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Literatura feminina e crítica literária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33-34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UFRN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Levantamento e debate das questões que revelam a história da produção literária de feminina e dão continuidade ao seu debate:</w:t>
            </w:r>
            <w:proofErr w:type="gramStart"/>
            <w:r w:rsidRPr="00AF6274">
              <w:rPr>
                <w:sz w:val="18"/>
                <w:szCs w:val="18"/>
              </w:rPr>
              <w:t xml:space="preserve">  </w:t>
            </w:r>
            <w:proofErr w:type="gramEnd"/>
            <w:r w:rsidRPr="00AF6274">
              <w:rPr>
                <w:sz w:val="18"/>
                <w:szCs w:val="18"/>
              </w:rPr>
              <w:t>reduzida participação feminina, registrada em antologias publicadas ate meados do séc. XX, ausência de nomes expressivos, entre outras.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Eduardo de Assis Duarte</w:t>
            </w:r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Mulher e preconceito(s) no romance brasileiro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UFRN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F6274">
              <w:rPr>
                <w:sz w:val="18"/>
                <w:szCs w:val="18"/>
              </w:rPr>
              <w:t>Análsie</w:t>
            </w:r>
            <w:proofErr w:type="spellEnd"/>
            <w:r w:rsidRPr="00AF6274">
              <w:rPr>
                <w:sz w:val="18"/>
                <w:szCs w:val="18"/>
              </w:rPr>
              <w:t xml:space="preserve"> comparativa entre </w:t>
            </w:r>
            <w:r w:rsidRPr="00AF6274">
              <w:rPr>
                <w:i/>
                <w:sz w:val="18"/>
                <w:szCs w:val="18"/>
              </w:rPr>
              <w:t>Iracema</w:t>
            </w:r>
            <w:r w:rsidRPr="00AF6274">
              <w:rPr>
                <w:sz w:val="18"/>
                <w:szCs w:val="18"/>
              </w:rPr>
              <w:t>, de Alencar,</w:t>
            </w:r>
            <w:proofErr w:type="gramStart"/>
            <w:r w:rsidRPr="00AF6274">
              <w:rPr>
                <w:sz w:val="18"/>
                <w:szCs w:val="18"/>
              </w:rPr>
              <w:t xml:space="preserve">  </w:t>
            </w:r>
            <w:proofErr w:type="gramEnd"/>
            <w:r w:rsidRPr="00AF6274">
              <w:rPr>
                <w:i/>
                <w:sz w:val="18"/>
                <w:szCs w:val="18"/>
              </w:rPr>
              <w:t>O Cortiço</w:t>
            </w:r>
            <w:r w:rsidRPr="00AF6274">
              <w:rPr>
                <w:sz w:val="18"/>
                <w:szCs w:val="18"/>
              </w:rPr>
              <w:t xml:space="preserve">, de Aluísio de Azevedo, e </w:t>
            </w:r>
            <w:r w:rsidRPr="00AF6274">
              <w:rPr>
                <w:i/>
                <w:sz w:val="18"/>
                <w:szCs w:val="18"/>
              </w:rPr>
              <w:t>Gabriela, Cravo e canela</w:t>
            </w:r>
            <w:r w:rsidRPr="00AF6274">
              <w:rPr>
                <w:sz w:val="18"/>
                <w:szCs w:val="18"/>
              </w:rPr>
              <w:t xml:space="preserve">, de Jorge Amado. Pontos de convergência: o sucesso de público e a identificação simbólica das heroínas </w:t>
            </w:r>
            <w:proofErr w:type="gramStart"/>
            <w:r w:rsidRPr="00AF6274">
              <w:rPr>
                <w:sz w:val="18"/>
                <w:szCs w:val="18"/>
              </w:rPr>
              <w:t>à</w:t>
            </w:r>
            <w:proofErr w:type="gramEnd"/>
            <w:r w:rsidRPr="00AF6274">
              <w:rPr>
                <w:sz w:val="18"/>
                <w:szCs w:val="18"/>
              </w:rPr>
              <w:t xml:space="preserve"> terra. </w:t>
            </w:r>
          </w:p>
        </w:tc>
      </w:tr>
      <w:tr w:rsidR="00CE4758" w:rsidRPr="00AF6274" w:rsidTr="007B7A6D">
        <w:tc>
          <w:tcPr>
            <w:tcW w:w="2182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 xml:space="preserve">Ria </w:t>
            </w:r>
            <w:proofErr w:type="spellStart"/>
            <w:r w:rsidRPr="00AF6274">
              <w:rPr>
                <w:sz w:val="20"/>
                <w:szCs w:val="20"/>
              </w:rPr>
              <w:t>Lemaire</w:t>
            </w:r>
            <w:proofErr w:type="spellEnd"/>
          </w:p>
        </w:tc>
        <w:tc>
          <w:tcPr>
            <w:tcW w:w="2724" w:type="dxa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 organização dos estudos da mulher na Holanda</w:t>
            </w:r>
          </w:p>
        </w:tc>
        <w:tc>
          <w:tcPr>
            <w:tcW w:w="998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  <w:gridSpan w:val="3"/>
          </w:tcPr>
          <w:p w:rsidR="00CE4758" w:rsidRPr="00AF6274" w:rsidRDefault="00CE475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Univ. de Utrecht</w:t>
            </w:r>
          </w:p>
        </w:tc>
        <w:tc>
          <w:tcPr>
            <w:tcW w:w="1672" w:type="dxa"/>
          </w:tcPr>
          <w:p w:rsidR="00CE4758" w:rsidRPr="00AF6274" w:rsidRDefault="00CE475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6274">
              <w:rPr>
                <w:sz w:val="18"/>
                <w:szCs w:val="18"/>
              </w:rPr>
              <w:t>Sobre o curso “Estudos da Mulher”, na universidade holandesa; explica o porquê do seu ingresso no GT.</w:t>
            </w:r>
          </w:p>
        </w:tc>
      </w:tr>
    </w:tbl>
    <w:p w:rsidR="00CE4758" w:rsidRDefault="00CE4758" w:rsidP="00CE4758"/>
    <w:p w:rsidR="00BE073D" w:rsidRDefault="00BE073D">
      <w:bookmarkStart w:id="0" w:name="_GoBack"/>
      <w:bookmarkEnd w:id="0"/>
    </w:p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8"/>
    <w:rsid w:val="00BE073D"/>
    <w:rsid w:val="00C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6893</Characters>
  <Application>Microsoft Office Word</Application>
  <DocSecurity>0</DocSecurity>
  <Lines>57</Lines>
  <Paragraphs>16</Paragraphs>
  <ScaleCrop>false</ScaleCrop>
  <Company>Microsoft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2013-04-18T01:31:00Z</dcterms:created>
  <dcterms:modified xsi:type="dcterms:W3CDTF">2013-04-18T01:33:00Z</dcterms:modified>
</cp:coreProperties>
</file>